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u w:val="single"/>
          <w:rtl w:val="0"/>
        </w:rPr>
        <w:t xml:space="preserve">The John M. Stewart Referee Assignor of the Year </w:t>
      </w:r>
      <w:r w:rsidDel="00000000" w:rsidR="00000000" w:rsidRPr="00000000">
        <w:rPr>
          <w:rtl w:val="0"/>
        </w:rPr>
        <w:t xml:space="preserve">sponsored by NCSRA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Requirements: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Hold a current Assignor Certification for a minimum of 2 years.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u w:val="single"/>
        </w:rPr>
      </w:pPr>
      <w:bookmarkStart w:colFirst="0" w:colLast="0" w:name="_heading=h.i6lhthvq9ma5" w:id="0"/>
      <w:bookmarkEnd w:id="0"/>
      <w:r w:rsidDel="00000000" w:rsidR="00000000" w:rsidRPr="00000000">
        <w:rPr>
          <w:u w:val="single"/>
          <w:rtl w:val="0"/>
        </w:rPr>
        <w:t xml:space="preserve">Qualities: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Demonstrate the ability to assign matches with appropriated rated referees.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Knowledgeable of the Laws of the Game, both written and applicable process.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Presents themselves in a professional manner to all concerned parties.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Has a willingness to mentor referees both new and experienced.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Assists referees in meeting their desired goals including upgrading and development.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Works with new referees on training with both classroom and on field training.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Nomination Process: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Anyone can nominate an Assignor that meets the requirements by completing the nomination form and submitting as instructed.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Selection Process: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 committee formed by the SRA will make selection based of nomination letters and performance.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Announcement of Winner: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announcement of the winning Assignor will be posted on the NCSRA Website and made at the AGM Presidents Luncheon.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Winning Assignor: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 winning Assignor will receive an invitation for four to the AGM Presidents Luncheon, an NCSRA embroidered polo and plaque.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/6mNWUjPM6I5RAEjMzQTWnUFg==">CgMxLjAyDmguaTZsaHRodnE5bWE1OAByITFlYzF5eElwRmFQQzl6bEtNNW1yT3B4V0RJSzBNWlZwUw==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2018-10-17T18:21:00Z</dcterms:created>
  <dc:creator>Adams, Daniel</dc:creator>
</cp:coreProperties>
</file>